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Coerenza Gerarchica: Tre Viste di un Oggetto</w:t>
      </w:r>
    </w:p>
    <w:p>
      <w:pPr>
        <w:spacing w:after="480"/>
        <w:jc w:val="center"/>
      </w:pPr>
      <w:r>
        <w:rPr>
          <w:i/>
          <w:iCs/>
          <w:sz w:val="22"/>
          <w:szCs w:val="22"/>
        </w:rPr>
        <w:t xml:space="preserve">Sintesi dei collegamenti tra Framework EAR e letteratura scientifica</w:t>
      </w:r>
    </w:p>
    <w:p>
      <w:pPr>
        <w:spacing w:after="480"/>
        <w:jc w:val="center"/>
      </w:pPr>
      <w:r>
        <w:rPr>
          <w:sz w:val="20"/>
          <w:szCs w:val="20"/>
        </w:rPr>
        <w:t xml:space="preserve">Data: 10 Gennaio 2026</w:t>
      </w:r>
    </w:p>
    <w:p>
      <w:pPr>
        <w:pStyle w:val="Heading1"/>
      </w:pPr>
      <w:r>
        <w:t xml:space="preserve">1. L'Intuizione Geometrica Centrale</w:t>
      </w:r>
    </w:p>
    <w:p>
      <w:pPr>
        <w:spacing w:after="200"/>
      </w:pPr>
      <w:r>
        <w:t xml:space="preserve">La coerenza gerarchica - la proprietà che coordina struttura e funzione nei sistemi complessi - può essere osservata da tre angolazioni complementari, come guardare lo stesso oggetto tridimensionale da prospettive diverse: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2500"/>
        <w:gridCol w:w="3360"/>
      </w:tblGrid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Prospettiva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Metrica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Cosa Misura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Dominio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Dall'alto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φ (IIT)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Integrazione informazionale del sistema come totalità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Neuroscienze, teoria della coscienza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Di lato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Δ_scaling = |β̄ - θ|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Divergenza tra scaling strutturale e funzionale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Biologia dei sistemi, oncologia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Da dentro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INS (hyperscanning)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Accoppiamento neurale tra sistemi interagenti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Neuroscienze sociali</w:t>
            </w:r>
          </w:p>
        </w:tc>
      </w:tr>
    </w:tbl>
    <w:p>
      <w:pPr>
        <w:spacing w:before="200" w:after="200"/>
      </w:pPr>
      <w:r>
        <w:rPr>
          <w:b/>
          <w:bCs/>
        </w:rPr>
        <w:t xml:space="preserve">Questa non è una metafora: </w:t>
      </w:r>
      <w:r>
        <w:t xml:space="preserve">le tre metriche misurano realmente la stessa proprietà fondamentale proiettata su piani osservazionali diversi. Quando la coerenza gerarchica si perde, tutte e tre le misure deviano simultaneamente.</w:t>
      </w:r>
    </w:p>
    <w:p>
      <w:pPr>
        <w:pStyle w:val="Heading1"/>
      </w:pPr>
      <w:r>
        <w:t xml:space="preserve">2. Il Framework EAR come Struttura Unificante</w:t>
      </w:r>
    </w:p>
    <w:p>
      <w:pPr>
        <w:spacing w:after="200"/>
      </w:pPr>
      <w:r>
        <w:t xml:space="preserve">Il framework EAR (Essenza-Armonia-Risonanza) fornisce l'ontologia che unifica queste tre prospettive. I documenti di riferimento sono: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KERNEL_EAR_v1.md</w:t>
      </w:r>
      <w:r>
        <w:t xml:space="preserve"> - Sistema formale compattato con 5 assiomi e 6 proposizioni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Sistema_Formale_EAR_v2.md</w:t>
      </w:r>
      <w:r>
        <w:t xml:space="preserve"> - Derivazione teorematica completa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Vocabolario_Operativo_EAR_v2.md</w:t>
      </w:r>
      <w:r>
        <w:t xml:space="preserve"> - Griglia applicativa</w:t>
      </w:r>
    </w:p>
    <w:p>
      <w:pPr>
        <w:pStyle w:val="Heading2"/>
      </w:pPr>
      <w:r>
        <w:t xml:space="preserve">2.1 Proposizioni Rilevanti</w:t>
      </w:r>
    </w:p>
    <w:p>
      <w:pPr>
        <w:spacing w:after="120"/>
      </w:pPr>
      <w:r>
        <w:rPr>
          <w:b/>
          <w:bCs/>
        </w:rPr>
        <w:t xml:space="preserve">Prop 3 (Soglia Critica): </w:t>
      </w:r>
      <w:r>
        <w:t xml:space="preserve">Ogni transizione ha una soglia K_critica. Sotto soglia: stato stabile. Al superamento: salto discreto.</w:t>
      </w:r>
    </w:p>
    <w:p>
      <w:pPr>
        <w:spacing w:after="120"/>
      </w:pPr>
      <w:r>
        <w:rPr>
          <w:b/>
          <w:bCs/>
        </w:rPr>
        <w:t xml:space="preserve">Prop 4 (Scaling Dimensionale): </w:t>
      </w:r>
      <w:r>
        <w:t xml:space="preserve">I pattern si replicano su scale diverse con isomorfismo strutturale. Per sistemi auto-osservanti: α = 3/4.</w:t>
      </w:r>
    </w:p>
    <w:p>
      <w:pPr>
        <w:spacing w:after="120"/>
      </w:pPr>
      <w:r>
        <w:rPr>
          <w:b/>
          <w:bCs/>
        </w:rPr>
        <w:t xml:space="preserve">Prop 5 (Risonanza Intersistemica): </w:t>
      </w:r>
      <w:r>
        <w:t xml:space="preserve">Quando I(⬡₁ ⇄ ⬡₂) ≥ K_ris, emerge ∿ (risonanza) con 4 fasi co-presenti: Porta ⊙, Spirale ∞, Nodo ◇, Seme ↻.</w:t>
      </w:r>
    </w:p>
    <w:p>
      <w:pPr>
        <w:spacing w:after="200"/>
      </w:pPr>
      <w:r>
        <w:rPr>
          <w:b/>
          <w:bCs/>
        </w:rPr>
        <w:t xml:space="preserve">Prop 6 (Inseparabilità): </w:t>
      </w:r>
      <w:r>
        <w:t xml:space="preserve">I tre attributi Δ (Distinzione), ⇄ (Relazione), ⟳ (Processo) sono sempre co-presenti. Mai separabili ontologicamente.</w:t>
      </w:r>
    </w:p>
    <w:p>
      <w:pPr>
        <w:pStyle w:val="Heading1"/>
      </w:pPr>
      <w:r>
        <w:t xml:space="preserve">3. Corrispondenze Empiriche dalla Letteratura</w:t>
      </w:r>
    </w:p>
    <w:p>
      <w:pPr>
        <w:pStyle w:val="Heading2"/>
      </w:pPr>
      <w:r>
        <w:t xml:space="preserve">3.1 Vista dall'Alto: φ e Integrazione Informazionale</w:t>
      </w:r>
    </w:p>
    <w:p>
      <w:pPr>
        <w:spacing w:after="200"/>
      </w:pPr>
      <w:r>
        <w:t xml:space="preserve">La Integrated Information Theory (IIT) misura la coerenza gerarchica come quantità di informazione integrata che il sistema genera oltre la somma delle parti.</w:t>
      </w:r>
    </w:p>
    <w:p>
      <w:pPr>
        <w:spacing w:after="240"/>
      </w:pPr>
      <w:r>
        <w:rPr>
          <w:b/>
          <w:bCs/>
        </w:rPr>
        <w:t xml:space="preserve">Hoel, Albantakis &amp; Tononi 2013</w:t>
      </w:r>
      <w:r>
        <w:t xml:space="preserve"> - </w:t>
      </w:r>
      <w:r>
        <w:rPr>
          <w:i/>
          <w:iCs/>
        </w:rPr>
        <w:t xml:space="preserve">Quantifying causal emergence shows that macro can beat micro</w:t>
      </w:r>
      <w:r>
        <w:t xml:space="preserve">. </w:t>
      </w:r>
      <w:r>
        <w:t xml:space="preserve">PNAS</w:t>
      </w:r>
      <w:r>
        <w:t xml:space="preserve">. DOI: </w:t>
      </w:r>
      <w:r>
        <w:rPr>
          <w:color w:val="0066CC"/>
        </w:rPr>
        <w:t xml:space="preserve">10.1073/pnas.1314922110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Dimostrano che 'macro-scale models can minimize noise and increase the amount of information'. La scala dove Effective Information è massima = scala dove il sistema è massimamente coerente. Fondamento della Causal Emergence.</w:t>
      </w:r>
    </w:p>
    <w:p>
      <w:pPr>
        <w:spacing w:after="240"/>
      </w:pPr>
      <w:r>
        <w:rPr>
          <w:b/>
          <w:bCs/>
        </w:rPr>
        <w:t xml:space="preserve">Hoel et al. 2016</w:t>
      </w:r>
      <w:r>
        <w:t xml:space="preserve"> - </w:t>
      </w:r>
      <w:r>
        <w:rPr>
          <w:i/>
          <w:iCs/>
        </w:rPr>
        <w:t xml:space="preserve">Can the macro beat the micro? Integrated information across spatiotemporal scales</w:t>
      </w:r>
      <w:r>
        <w:t xml:space="preserve">. </w:t>
      </w:r>
      <w:r>
        <w:t xml:space="preserve">Neuroscience of Consciousness</w:t>
      </w:r>
      <w:r>
        <w:t xml:space="preserve">. DOI: </w:t>
      </w:r>
      <w:r>
        <w:rPr>
          <w:color w:val="0066CC"/>
        </w:rPr>
        <w:t xml:space="preserve">10.1093/nc/niw012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φ può raggiungere il picco a livello macro. 'The spatiotemporal maximum of integrated information fixes the spatiotemporal scale of consciousness'. Corrisponde a Δ che organizza ⇄ e ⟳.</w:t>
      </w:r>
    </w:p>
    <w:p>
      <w:pPr>
        <w:pStyle w:val="Heading2"/>
      </w:pPr>
      <w:r>
        <w:t xml:space="preserve">3.2 Vista di Lato: Δ_scaling e Divergenza Struttura-Funzione</w:t>
      </w:r>
    </w:p>
    <w:p>
      <w:pPr>
        <w:spacing w:after="200"/>
      </w:pPr>
      <w:r>
        <w:t xml:space="preserve">La divergenza tra esponenti di scaling strutturale e metabolico misura direttamente quanto struttura e funzione si sono disaccoppiate.</w:t>
      </w:r>
    </w:p>
    <w:p>
      <w:pPr>
        <w:spacing w:after="240"/>
      </w:pPr>
      <w:r>
        <w:rPr>
          <w:b/>
          <w:bCs/>
        </w:rPr>
        <w:t xml:space="preserve">Paper EAR Lab (in preparazione)</w:t>
      </w:r>
      <w:r>
        <w:t xml:space="preserve"> - </w:t>
      </w:r>
      <w:r>
        <w:rPr>
          <w:i/>
          <w:iCs/>
        </w:rPr>
        <w:t xml:space="preserve">Divergence of Structural and Metabolic Scaling Exponents as a Signature of Hierarchical Incoherence in Tumors</w:t>
      </w:r>
      <w:r>
        <w:t xml:space="preserve">. </w:t>
      </w:r>
      <w:r>
        <w:t xml:space="preserve">Studio_divergenza_scaling_tumori.zip</w:t>
      </w:r>
      <w:r>
        <w:t xml:space="preserve">. DOI: </w:t>
      </w:r>
      <w:r>
        <w:rPr>
          <w:color w:val="0066CC"/>
        </w:rPr>
        <w:t xml:space="preserve">[documento locale]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Δ = |β̄ - θ| distingue ADC da SCC (Cohen's d = 2.15). La divergenza tra scaling vascolare (⇄) e metabolico (⟳) riflette perdita di coerenza gerarchica (Δ). Framework R-P-D = ⇄-⟳-Δ di EAR.</w:t>
      </w:r>
    </w:p>
    <w:p>
      <w:pPr>
        <w:spacing w:after="240"/>
      </w:pPr>
      <w:r>
        <w:rPr>
          <w:b/>
          <w:bCs/>
        </w:rPr>
        <w:t xml:space="preserve">Benozzo et al. 2023</w:t>
      </w:r>
      <w:r>
        <w:t xml:space="preserve"> - </w:t>
      </w:r>
      <w:r>
        <w:rPr>
          <w:i/>
          <w:iCs/>
        </w:rPr>
        <w:t xml:space="preserve">Structural and effective connectivity in the mouse brain</w:t>
      </w:r>
      <w:r>
        <w:t xml:space="preserve">. </w:t>
      </w:r>
      <w:r>
        <w:t xml:space="preserve">bioRxiv preprint</w:t>
      </w:r>
      <w:r>
        <w:t xml:space="preserve">. DOI: </w:t>
      </w:r>
      <w:r>
        <w:rPr>
          <w:color w:val="0066CC"/>
        </w:rPr>
        <w:t xml:space="preserve">10.1101/2023.02.22.529400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SC (connettività strutturale) e EC (connettività effettiva) si disaccoppiano nelle aree corticali di ordine superiore. Stesso pattern del paper tumori ma nel cervello.</w:t>
      </w:r>
    </w:p>
    <w:p>
      <w:pPr>
        <w:spacing w:after="240"/>
      </w:pPr>
      <w:r>
        <w:rPr>
          <w:b/>
          <w:bCs/>
        </w:rPr>
        <w:t xml:space="preserve">West, Brown &amp; Enquist 1997</w:t>
      </w:r>
      <w:r>
        <w:t xml:space="preserve"> - </w:t>
      </w:r>
      <w:r>
        <w:rPr>
          <w:i/>
          <w:iCs/>
        </w:rPr>
        <w:t xml:space="preserve">A General Model for the Origin of Allometric Scaling Laws in Biology</w:t>
      </w:r>
      <w:r>
        <w:t xml:space="preserve">. </w:t>
      </w:r>
      <w:r>
        <w:t xml:space="preserve">Science</w:t>
      </w:r>
      <w:r>
        <w:t xml:space="preserve">. DOI: </w:t>
      </w:r>
      <w:r>
        <w:rPr>
          <w:color w:val="0066CC"/>
        </w:rPr>
        <w:t xml:space="preserve">10.1126/science.276.5309.122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L'esponente 3/4 emerge da reti di distribuzione gerarchiche ottimizzate. Baseline teorico: quando coerenza gerarchica è presente, scaling = 0.75. Conferma Prop 4 (Corollario 4.2: α = A/D = 3/4).</w:t>
      </w:r>
    </w:p>
    <w:p>
      <w:pPr>
        <w:pStyle w:val="Heading2"/>
      </w:pPr>
      <w:r>
        <w:t xml:space="preserve">3.3 Vista da Dentro: INS e Risonanza Interpersonale</w:t>
      </w:r>
    </w:p>
    <w:p>
      <w:pPr>
        <w:spacing w:after="200"/>
      </w:pPr>
      <w:r>
        <w:t xml:space="preserve">La sincronizzazione neurale interpersonale (INS) misura quanto due sistemi nervosi risuonano durante l'interazione - corrisponde direttamente a ∿ di EAR.</w:t>
      </w:r>
    </w:p>
    <w:p>
      <w:pPr>
        <w:spacing w:after="240"/>
      </w:pPr>
      <w:r>
        <w:rPr>
          <w:b/>
          <w:bCs/>
        </w:rPr>
        <w:t xml:space="preserve">Lotter et al. 2023</w:t>
      </w:r>
      <w:r>
        <w:t xml:space="preserve"> - </w:t>
      </w:r>
      <w:r>
        <w:rPr>
          <w:i/>
          <w:iCs/>
        </w:rPr>
        <w:t xml:space="preserve">Revealing the neurobiology underlying interpersonal neural synchronization with multimodal data fusion</w:t>
      </w:r>
      <w:r>
        <w:t xml:space="preserve">. </w:t>
      </w:r>
      <w:r>
        <w:t xml:space="preserve">Neuroscience and Biobehavioral Reviews</w:t>
      </w:r>
      <w:r>
        <w:t xml:space="preserve">. DOI: </w:t>
      </w:r>
      <w:r>
        <w:rPr>
          <w:color w:val="0066CC"/>
        </w:rPr>
        <w:t xml:space="preserve">10.1016/j.neubiorev.2023.105042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Meta-analisi di 91 esperimenti hyperscanning. INS coinvolge hub sensori-integrativi con connessioni a reti di mentalizzazione. A livello molecolare: neurotrasmissione GABAergica e circuiti Layer IV/V. Ancora Prop 5 a meccanismi biochimici.</w:t>
      </w:r>
    </w:p>
    <w:p>
      <w:pPr>
        <w:spacing w:after="240"/>
      </w:pPr>
      <w:r>
        <w:rPr>
          <w:b/>
          <w:bCs/>
        </w:rPr>
        <w:t xml:space="preserve">Azhari et al. 2025</w:t>
      </w:r>
      <w:r>
        <w:t xml:space="preserve"> - </w:t>
      </w:r>
      <w:r>
        <w:rPr>
          <w:i/>
          <w:iCs/>
        </w:rPr>
        <w:t xml:space="preserve">A Systematic Review of Inter-Brain Synchrony and Psychological Conditions</w:t>
      </w:r>
      <w:r>
        <w:t xml:space="preserve">. </w:t>
      </w:r>
      <w:r>
        <w:t xml:space="preserve">Brain Sciences</w:t>
      </w:r>
      <w:r>
        <w:t xml:space="preserve">. DOI: </w:t>
      </w:r>
      <w:r>
        <w:rPr>
          <w:color w:val="0066CC"/>
        </w:rPr>
        <w:t xml:space="preserve">10.3390/brainsci15101113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IBS ridotta in ansia, depressione, ASD - particolarmente in dlPFC, mPFC, TPJ, IFG. Supporta Prop 1: K(⬡) sotto K_min impedisce risonanza.</w:t>
      </w:r>
    </w:p>
    <w:p>
      <w:pPr>
        <w:spacing w:after="240"/>
      </w:pPr>
      <w:r>
        <w:rPr>
          <w:b/>
          <w:bCs/>
        </w:rPr>
        <w:t xml:space="preserve">Zhou et al. 2025</w:t>
      </w:r>
      <w:r>
        <w:t xml:space="preserve"> - </w:t>
      </w:r>
      <w:r>
        <w:rPr>
          <w:i/>
          <w:iCs/>
        </w:rPr>
        <w:t xml:space="preserve">Mental integration and emotional resonance: Self-other overlap and intimate relationship satisfaction</w:t>
      </w:r>
      <w:r>
        <w:t xml:space="preserve">. </w:t>
      </w:r>
      <w:r>
        <w:t xml:space="preserve">Acta Psychologica</w:t>
      </w:r>
      <w:r>
        <w:t xml:space="preserve">. DOI: </w:t>
      </w:r>
      <w:r>
        <w:rPr>
          <w:color w:val="0066CC"/>
        </w:rPr>
        <w:t xml:space="preserve">10.1016/j.actpsy.2025.106117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Scoperta cruciale: coppie con alto self-other overlap hanno MENO bisogno di INS in tempo reale. Interpretazione EAR: risonanza matura (Nodo ◇ formato) riduce necessità di Spirale ∞ intensa.</w:t>
      </w:r>
    </w:p>
    <w:p>
      <w:pPr>
        <w:spacing w:after="240"/>
      </w:pPr>
      <w:r>
        <w:rPr>
          <w:b/>
          <w:bCs/>
        </w:rPr>
        <w:t xml:space="preserve">Liu et al. 2023</w:t>
      </w:r>
      <w:r>
        <w:t xml:space="preserve"> - </w:t>
      </w:r>
      <w:r>
        <w:rPr>
          <w:i/>
          <w:iCs/>
        </w:rPr>
        <w:t xml:space="preserve">Cognitive Reappraisal and Expressive Suppression Evoke Distinct Neural Connections during Interpersonal Emotion Regulation</w:t>
      </w:r>
      <w:r>
        <w:t xml:space="preserve">. </w:t>
      </w:r>
      <w:r>
        <w:t xml:space="preserve">Journal of Neuroscience</w:t>
      </w:r>
      <w:r>
        <w:t xml:space="preserve">. DOI: </w:t>
      </w:r>
      <w:r>
        <w:rPr>
          <w:color w:val="0066CC"/>
        </w:rPr>
        <w:t xml:space="preserve">10.1523/JNEUROSCI.0954-23.2023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Strategie diverse di regolazione emotiva evocano pattern INS distinti. Cognitive reappraisal = pattern più ampio. Conferma che le 4 fasi di risonanza possono avere dominanze diverse.</w:t>
      </w:r>
    </w:p>
    <w:p>
      <w:pPr>
        <w:pStyle w:val="Heading2"/>
      </w:pPr>
      <w:r>
        <w:t xml:space="preserve">3.4 Criticità e Soglie (Prop 3)</w:t>
      </w:r>
    </w:p>
    <w:p>
      <w:pPr>
        <w:spacing w:after="200"/>
      </w:pPr>
      <w:r>
        <w:t xml:space="preserve">La Self-Organized Criticality (SOC) nei sistemi neurali conferma che le transizioni avvengono vicino a punti critici, come predetto dalla Prop 3.</w:t>
      </w:r>
    </w:p>
    <w:p>
      <w:pPr>
        <w:spacing w:after="240"/>
      </w:pPr>
      <w:r>
        <w:rPr>
          <w:b/>
          <w:bCs/>
        </w:rPr>
        <w:t xml:space="preserve">Walter &amp; Hinterberger 2022a</w:t>
      </w:r>
      <w:r>
        <w:t xml:space="preserve"> - </w:t>
      </w:r>
      <w:r>
        <w:rPr>
          <w:i/>
          <w:iCs/>
        </w:rPr>
        <w:t xml:space="preserve">Self-organized criticality as a framework for consciousness: A review study</w:t>
      </w:r>
      <w:r>
        <w:t xml:space="preserve">. </w:t>
      </w:r>
      <w:r>
        <w:t xml:space="preserve">Frontiers in Psychology</w:t>
      </w:r>
      <w:r>
        <w:t xml:space="preserve">. DOI: </w:t>
      </w:r>
      <w:r>
        <w:rPr>
          <w:color w:val="0066CC"/>
        </w:rPr>
        <w:t xml:space="preserve">10.3389/fpsyg.2022.911620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SOC compatibile con Global Workspace Theory e IIT. La coscienza emerge vicino ai punti critici. Conferma diretta di Prop 3: transizioni discrete, non graduali.</w:t>
      </w:r>
    </w:p>
    <w:p>
      <w:pPr>
        <w:spacing w:after="240"/>
      </w:pPr>
      <w:r>
        <w:rPr>
          <w:b/>
          <w:bCs/>
        </w:rPr>
        <w:t xml:space="preserve">Walter &amp; Hinterberger 2022b</w:t>
      </w:r>
      <w:r>
        <w:t xml:space="preserve"> - </w:t>
      </w:r>
      <w:r>
        <w:rPr>
          <w:i/>
          <w:iCs/>
        </w:rPr>
        <w:t xml:space="preserve">Determining states of consciousness in the EEG based on spectral, complexity, and criticality features</w:t>
      </w:r>
      <w:r>
        <w:t xml:space="preserve">. </w:t>
      </w:r>
      <w:r>
        <w:t xml:space="preserve">Neuroscience of Consciousness</w:t>
      </w:r>
      <w:r>
        <w:t xml:space="preserve">. DOI: </w:t>
      </w:r>
      <w:r>
        <w:rPr>
          <w:color w:val="0066CC"/>
        </w:rPr>
        <w:t xml:space="preserve">10.1093/nc/niac008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Stati di meditazione discriminabili con misure di complessità e criticità. 'Emptiness' e 'focused attention' mostrano profili distinti. Supporta struttura 4×3 del framework.</w:t>
      </w:r>
    </w:p>
    <w:p>
      <w:pPr>
        <w:spacing w:after="240"/>
      </w:pPr>
      <w:r>
        <w:rPr>
          <w:b/>
          <w:bCs/>
        </w:rPr>
        <w:t xml:space="preserve">Yurchenko 2022</w:t>
      </w:r>
      <w:r>
        <w:t xml:space="preserve"> - </w:t>
      </w:r>
      <w:r>
        <w:rPr>
          <w:i/>
          <w:iCs/>
        </w:rPr>
        <w:t xml:space="preserve">A systematic approach to brain dynamics: cognitive evolution theory of consciousness</w:t>
      </w:r>
      <w:r>
        <w:t xml:space="preserve">. </w:t>
      </w:r>
      <w:r>
        <w:t xml:space="preserve">Cognitive Neurodynamics</w:t>
      </w:r>
      <w:r>
        <w:t xml:space="preserve">. DOI: </w:t>
      </w:r>
      <w:r>
        <w:rPr>
          <w:color w:val="0066CC"/>
        </w:rPr>
        <w:t xml:space="preserve">10.1007/s11571-022-09863-6</w:t>
      </w:r>
      <w:r>
        <w:t xml:space="preserve">
</w:t>
      </w:r>
      <w:r>
        <w:rPr>
          <w:b/>
          <w:bCs/>
          <w:sz w:val="22"/>
          <w:szCs w:val="22"/>
        </w:rPr>
        <w:t xml:space="preserve">Rilevanza EAR: </w:t>
      </w:r>
      <w:r>
        <w:rPr>
          <w:sz w:val="22"/>
          <w:szCs w:val="22"/>
        </w:rPr>
        <w:t xml:space="preserve">La coscienza emerge come stream discreto vicino a punti critici. Ogni stato volizionalmente guidato. Discretezza e flusso = transizioni ⟿ in EAR.</w:t>
      </w:r>
    </w:p>
    <w:p>
      <w:pPr>
        <w:pStyle w:val="Heading1"/>
      </w:pPr>
      <w:r>
        <w:t xml:space="preserve">4. La Convergenza: Tre Metriche, Una Proprietà</w:t>
      </w:r>
    </w:p>
    <w:p>
      <w:pPr>
        <w:spacing w:after="200"/>
      </w:pPr>
      <w:r>
        <w:t xml:space="preserve">I paper trovati convergono su un punto centrale: la coerenza gerarchica è una proprietà reale dei sistemi complessi, misurabile da angolazioni diverse ma complementari.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200"/>
        <w:gridCol w:w="3160"/>
      </w:tblGrid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Dominio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Paper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Metrica Usata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Corrisponde in EAR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Tumori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EAR Lab (locale)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Δ = |β̄ - θ|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Perdita coerenza Δ tra ⇄ e ⟳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Cervello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Benozzo 2023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SC ≠ EC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Disaccoppiamento struttura-funzione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Coscienza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Hoel/Tononi 2013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φ (IIT)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Integrazione = coerenza gerarchica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Sociale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Lotter 2023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INS (fNIRS/EEG)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∿ Risonanza intersistemica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Criticità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Walter 2022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SOC + avalanche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Prop 3: emergenza vicino K_crit</w:t>
            </w:r>
          </w:p>
        </w:tc>
      </w:tr>
    </w:tbl>
    <w:p>
      <w:pPr>
        <w:pStyle w:val="Heading2"/>
      </w:pPr>
      <w:r>
        <w:t xml:space="preserve">4.1 La Predizione Derivabile</w:t>
      </w:r>
    </w:p>
    <w:p>
      <w:pPr>
        <w:spacing w:after="200"/>
      </w:pPr>
      <w:r>
        <w:t xml:space="preserve">Se φ, Δ_scaling e INS misurano la stessa proprietà, allora dovrebbero covariare. Predizione EAR: </w:t>
      </w:r>
      <w:r>
        <w:rPr>
          <w:i/>
          <w:iCs/>
        </w:rPr>
        <w:t xml:space="preserve">Se Δ_tumor ↑ (divergenza scaling aumenta) ⟹ φ_locale ↓ (meno integrazione) ⟹ INS_possibile ↓ (meno capacità risonanza con altri sistemi)</w:t>
      </w:r>
    </w:p>
    <w:p>
      <w:pPr>
        <w:pStyle w:val="Heading1"/>
      </w:pPr>
      <w:r>
        <w:t xml:space="preserve">5. Assenza di Smentite</w:t>
      </w:r>
    </w:p>
    <w:p>
      <w:pPr>
        <w:spacing w:after="200"/>
      </w:pPr>
      <w:r>
        <w:t xml:space="preserve">La ricerca non ha identificato paper che contraddicano le proposizioni EAR. In particolare:</w:t>
      </w:r>
    </w:p>
    <w:p>
      <w:pPr>
        <w:pStyle w:val="ListParagraph"/>
        <w:numPr>
          <w:ilvl w:val="0"/>
          <w:numId w:val="2"/>
        </w:numPr>
      </w:pPr>
      <w:r>
        <w:t xml:space="preserve">Nessuno studio mostra transizioni continue senza soglia (contro Prop 3)</w:t>
      </w:r>
    </w:p>
    <w:p>
      <w:pPr>
        <w:pStyle w:val="ListParagraph"/>
        <w:numPr>
          <w:ilvl w:val="0"/>
          <w:numId w:val="2"/>
        </w:numPr>
      </w:pPr>
      <w:r>
        <w:t xml:space="preserve">Nessuno studio mostra pattern che non si replicano su scale diverse (contro Prop 4)</w:t>
      </w:r>
    </w:p>
    <w:p>
      <w:pPr>
        <w:pStyle w:val="ListParagraph"/>
        <w:numPr>
          <w:ilvl w:val="0"/>
          <w:numId w:val="2"/>
        </w:numPr>
      </w:pPr>
      <w:r>
        <w:t xml:space="preserve">Nessuno studio mostra risonanza completa con meno di 4 fasi (contro Prop 5)</w:t>
      </w:r>
    </w:p>
    <w:p>
      <w:pPr>
        <w:pStyle w:val="ListParagraph"/>
        <w:numPr>
          <w:ilvl w:val="0"/>
          <w:numId w:val="2"/>
        </w:numPr>
      </w:pPr>
      <w:r>
        <w:t xml:space="preserve">Nessuno studio separa con successo Δ, ⇄, ⟳ come indipendenti (contro Prop 6)</w:t>
      </w:r>
    </w:p>
    <w:p>
      <w:pPr>
        <w:spacing w:before="200" w:after="200"/>
      </w:pPr>
      <w:r>
        <w:rPr>
          <w:b/>
          <w:bCs/>
        </w:rPr>
        <w:t xml:space="preserve">Nota metodologica: </w:t>
      </w:r>
      <w:r>
        <w:t xml:space="preserve">L'assenza di smentita non è conferma. Tuttavia, la convergenza di evidenze da domini indipendenti (oncologia, neuroscienze, fisica dei sistemi complessi) rafforza la plausibilità del framework.</w:t>
      </w:r>
    </w:p>
    <w:p>
      <w:pPr>
        <w:pStyle w:val="Heading1"/>
      </w:pPr>
      <w:r>
        <w:t xml:space="preserve">6. Direzioni di Ricerca Future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Correlazione φ-Δ_scaling: </w:t>
      </w:r>
      <w:r>
        <w:t xml:space="preserve">Cercare dataset cerebrali dove misurare simultaneamente φ e divergenza scaling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INS in oncologia: </w:t>
      </w:r>
      <w:r>
        <w:t xml:space="preserve">Testare se INS predice outcomes in psico-oncologia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Formalizzazione matematica: </w:t>
      </w:r>
      <w:r>
        <w:t xml:space="preserve">Derivare esplicitamente φ ↔ R(⬡₁,⬡₂) ↔ Δ_scaling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Test cross-scala: </w:t>
      </w:r>
      <w:r>
        <w:t xml:space="preserve">Verificare invarianza frattale delle 4 fasi risonanza (neuroni → umani → società)</w:t>
      </w:r>
    </w:p>
    <w:p>
      <w:pPr>
        <w:pStyle w:val="Heading1"/>
      </w:pPr>
      <w:r>
        <w:t xml:space="preserve">7. Conclusione</w:t>
      </w:r>
    </w:p>
    <w:p>
      <w:pPr>
        <w:spacing w:after="200"/>
      </w:pPr>
      <w:r>
        <w:t xml:space="preserve">La coerenza gerarchica emerge come concetto unificante misurabile da tre prospettive: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Dall'alto (φ): </w:t>
      </w:r>
      <w:r>
        <w:t xml:space="preserve">quanto il sistema è integrato come totalità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 lato (Δ_scaling): </w:t>
      </w:r>
      <w:r>
        <w:t xml:space="preserve">quanto struttura e funzione sono allineate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Da dentro (INS): </w:t>
      </w:r>
      <w:r>
        <w:t xml:space="preserve">quanto due sistemi risuonano tra loro</w:t>
      </w:r>
    </w:p>
    <w:p>
      <w:pPr>
        <w:spacing w:before="200" w:after="200"/>
      </w:pPr>
      <w:r>
        <w:t xml:space="preserve">Il framework EAR fornisce l'ontologia che rende esplicita questa convergenza, predicendo che la perdita di coerenza gerarchica (Δ incoerente) si manifesterà simultaneamente in tutte e tre le metriche. La letteratura scientifica recente, senza conoscere EAR, sta convergendo verso queste stesse conclusioni da direzioni indipendenti.</w:t>
      </w:r>
    </w:p>
    <w:p>
      <w:pPr>
        <w:pStyle w:val="Heading1"/>
      </w:pPr>
      <w:r>
        <w:t xml:space="preserve">Appendice: Documenti di Riferimento EAR</w:t>
      </w:r>
    </w:p>
    <w:p>
      <w:pPr>
        <w:spacing w:after="120"/>
      </w:pPr>
      <w:r>
        <w:rPr>
          <w:b/>
          <w:bCs/>
        </w:rPr>
        <w:t xml:space="preserve">KERNEL_EAR_v1.md</w:t>
      </w:r>
    </w:p>
    <w:p>
      <w:pPr>
        <w:spacing w:after="120" left="360"/>
      </w:pPr>
      <w:r>
        <w:t xml:space="preserve">Sistema formale compattato. Contiene: 5 Assiomi (A1-A5), 6 Proposizioni, Matrice 4×3, Vocabolario primitivo, Teoremi chiave, Formule unificanti.</w:t>
      </w:r>
    </w:p>
    <w:p>
      <w:pPr>
        <w:spacing w:after="120"/>
      </w:pPr>
      <w:r>
        <w:rPr>
          <w:b/>
          <w:bCs/>
        </w:rPr>
        <w:t xml:space="preserve">Sistema_Formale_EAR_v2.md</w:t>
      </w:r>
    </w:p>
    <w:p>
      <w:pPr>
        <w:spacing w:after="120" left="360"/>
      </w:pPr>
      <w:r>
        <w:t xml:space="preserve">Derivazione teorematica completa. Include: derivazioni da assiomi, corollari, predizioni testabili, condizioni di falsificazione.</w:t>
      </w:r>
    </w:p>
    <w:p>
      <w:pPr>
        <w:spacing w:after="120"/>
      </w:pPr>
      <w:r>
        <w:rPr>
          <w:b/>
          <w:bCs/>
        </w:rPr>
        <w:t xml:space="preserve">Vocabolario_Operativo_EAR_v2.md</w:t>
      </w:r>
    </w:p>
    <w:p>
      <w:pPr>
        <w:spacing w:after="120" left="360"/>
      </w:pPr>
      <w:r>
        <w:t xml:space="preserve">Griglia applicativa con definizioni operative per ogni termine del framework.</w:t>
      </w:r>
    </w:p>
    <w:p>
      <w:pPr>
        <w:spacing w:after="120"/>
      </w:pPr>
      <w:r>
        <w:rPr>
          <w:b/>
          <w:bCs/>
        </w:rPr>
        <w:t xml:space="preserve">Studio_divergenza_scaling_tumori.zip</w:t>
      </w:r>
    </w:p>
    <w:p>
      <w:pPr>
        <w:spacing w:after="120" left="360"/>
      </w:pPr>
      <w:r>
        <w:t xml:space="preserve">Paper empirico sulla divergenza scaling in NSCLC. Dimostra applicazione del framework R-P-D (= ⇄-⟳-Δ) in oncologia.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4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2026-01-10T22:35:01.941Z</dcterms:created>
  <dcterms:modified xsi:type="dcterms:W3CDTF">2026-01-10T22:35:01.941Z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